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484D1">
      <w:pPr>
        <w:spacing w:line="560" w:lineRule="exact"/>
        <w:rPr>
          <w:sz w:val="84"/>
          <w:szCs w:val="84"/>
          <w:u w:val="none"/>
        </w:rPr>
      </w:pPr>
    </w:p>
    <w:p w14:paraId="2A6C8742">
      <w:pPr>
        <w:spacing w:line="560" w:lineRule="exact"/>
        <w:rPr>
          <w:sz w:val="84"/>
          <w:szCs w:val="84"/>
          <w:u w:val="none"/>
        </w:rPr>
      </w:pPr>
    </w:p>
    <w:p w14:paraId="647EDAE9">
      <w:pPr>
        <w:spacing w:line="560" w:lineRule="exact"/>
        <w:rPr>
          <w:sz w:val="84"/>
          <w:szCs w:val="84"/>
          <w:u w:val="none"/>
        </w:rPr>
      </w:pPr>
    </w:p>
    <w:p w14:paraId="6C584CB1">
      <w:pPr>
        <w:spacing w:line="560" w:lineRule="exact"/>
        <w:rPr>
          <w:sz w:val="84"/>
          <w:szCs w:val="84"/>
          <w:u w:val="none"/>
        </w:rPr>
      </w:pPr>
    </w:p>
    <w:p w14:paraId="19AD308B">
      <w:pPr>
        <w:spacing w:line="560" w:lineRule="exact"/>
        <w:jc w:val="center"/>
        <w:rPr>
          <w:rFonts w:hint="eastAsia"/>
          <w:sz w:val="52"/>
          <w:szCs w:val="52"/>
          <w:u w:val="none"/>
          <w:lang w:val="en-US" w:eastAsia="zh-CN"/>
        </w:rPr>
      </w:pPr>
    </w:p>
    <w:p w14:paraId="6C58629E">
      <w:pPr>
        <w:spacing w:line="560" w:lineRule="exact"/>
        <w:jc w:val="center"/>
        <w:rPr>
          <w:rFonts w:hint="eastAsia"/>
          <w:sz w:val="52"/>
          <w:szCs w:val="52"/>
          <w:u w:val="none"/>
          <w:lang w:val="en-US" w:eastAsia="zh-CN"/>
        </w:rPr>
      </w:pPr>
    </w:p>
    <w:p w14:paraId="0B92C123">
      <w:pPr>
        <w:spacing w:line="560" w:lineRule="exact"/>
        <w:jc w:val="center"/>
        <w:rPr>
          <w:rFonts w:hint="eastAsia"/>
          <w:sz w:val="52"/>
          <w:szCs w:val="52"/>
          <w:u w:val="none"/>
          <w:lang w:val="en-US" w:eastAsia="zh-CN"/>
        </w:rPr>
      </w:pPr>
    </w:p>
    <w:p w14:paraId="5916BC23">
      <w:pPr>
        <w:spacing w:line="560" w:lineRule="exact"/>
        <w:jc w:val="center"/>
        <w:rPr>
          <w:rFonts w:hint="eastAsia"/>
          <w:sz w:val="52"/>
          <w:szCs w:val="52"/>
          <w:u w:val="none"/>
          <w:lang w:val="en-US" w:eastAsia="zh-CN"/>
        </w:rPr>
      </w:pPr>
    </w:p>
    <w:p w14:paraId="4C696F87">
      <w:pPr>
        <w:spacing w:line="560" w:lineRule="exact"/>
        <w:jc w:val="center"/>
        <w:rPr>
          <w:rFonts w:hint="eastAsia"/>
          <w:sz w:val="52"/>
          <w:szCs w:val="52"/>
          <w:u w:val="none"/>
          <w:lang w:val="en-US" w:eastAsia="zh-CN"/>
        </w:rPr>
      </w:pPr>
    </w:p>
    <w:p w14:paraId="40136408">
      <w:pPr>
        <w:spacing w:line="560" w:lineRule="exact"/>
        <w:jc w:val="center"/>
        <w:rPr>
          <w:rFonts w:hint="eastAsia"/>
          <w:sz w:val="52"/>
          <w:szCs w:val="52"/>
          <w:u w:val="none"/>
          <w:lang w:val="en-US" w:eastAsia="zh-CN"/>
        </w:rPr>
      </w:pPr>
    </w:p>
    <w:p w14:paraId="0BFBE866">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sz w:val="44"/>
          <w:szCs w:val="44"/>
          <w:u w:val="none"/>
          <w:lang w:eastAsia="zh-CN"/>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u w:val="none"/>
          <w:lang w:eastAsia="zh-CN"/>
        </w:rPr>
        <w:t>屯昌县屯城镇大陆坡幼儿园</w:t>
      </w:r>
    </w:p>
    <w:p w14:paraId="5F4C62B8">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14:paraId="1BF27841">
      <w:pPr>
        <w:spacing w:line="560" w:lineRule="exact"/>
        <w:ind w:firstLine="1680"/>
        <w:jc w:val="center"/>
        <w:rPr>
          <w:sz w:val="84"/>
          <w:szCs w:val="84"/>
          <w:u w:val="none"/>
        </w:rPr>
      </w:pPr>
    </w:p>
    <w:p w14:paraId="600E69F4">
      <w:pPr>
        <w:spacing w:line="560" w:lineRule="exact"/>
        <w:ind w:firstLine="1680"/>
        <w:jc w:val="center"/>
        <w:rPr>
          <w:sz w:val="84"/>
          <w:szCs w:val="84"/>
          <w:u w:val="none"/>
        </w:rPr>
      </w:pPr>
    </w:p>
    <w:p w14:paraId="41B770EF">
      <w:pPr>
        <w:spacing w:line="560" w:lineRule="exact"/>
        <w:ind w:firstLine="1680"/>
        <w:jc w:val="center"/>
        <w:rPr>
          <w:sz w:val="84"/>
          <w:szCs w:val="84"/>
          <w:u w:val="none"/>
        </w:rPr>
      </w:pPr>
    </w:p>
    <w:p w14:paraId="525439D0">
      <w:pPr>
        <w:spacing w:line="560" w:lineRule="exact"/>
        <w:ind w:firstLine="1680"/>
        <w:jc w:val="center"/>
        <w:rPr>
          <w:sz w:val="84"/>
          <w:szCs w:val="84"/>
          <w:u w:val="none"/>
        </w:rPr>
      </w:pPr>
    </w:p>
    <w:p w14:paraId="1219CAB4">
      <w:pPr>
        <w:rPr>
          <w:sz w:val="84"/>
          <w:szCs w:val="84"/>
          <w:u w:val="none"/>
        </w:rPr>
      </w:pPr>
      <w:r>
        <w:rPr>
          <w:sz w:val="84"/>
          <w:szCs w:val="84"/>
          <w:u w:val="none"/>
        </w:rPr>
        <w:br w:type="page"/>
      </w:r>
    </w:p>
    <w:p w14:paraId="3B5F7B12">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2453183F">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屯昌县屯城镇大陆坡幼儿园</w:t>
      </w:r>
      <w:r>
        <w:rPr>
          <w:rFonts w:hint="eastAsia" w:ascii="方正黑体_GBK" w:hAnsi="方正黑体_GBK" w:eastAsia="方正黑体_GBK" w:cs="方正黑体_GBK"/>
          <w:sz w:val="32"/>
          <w:szCs w:val="32"/>
          <w:u w:val="none"/>
        </w:rPr>
        <w:t>概况</w:t>
      </w:r>
    </w:p>
    <w:p w14:paraId="37629C09">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040F66CA">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051CC06D">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14:paraId="2F0BFCE3">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52AC569E">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31953BE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132A1C72">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65105B66">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3E2E7BF1">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4E11F3B0">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52B02FFE">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454290A7">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69848DA5">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66E42F65">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13D4440B">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14:paraId="36D05AE1">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0D833883">
      <w:pPr>
        <w:jc w:val="left"/>
        <w:rPr>
          <w:rFonts w:hint="eastAsia" w:ascii="黑体" w:hAnsi="黑体" w:eastAsia="黑体"/>
          <w:sz w:val="52"/>
          <w:szCs w:val="52"/>
          <w:u w:val="none"/>
        </w:rPr>
      </w:pPr>
    </w:p>
    <w:p w14:paraId="4F4779B4">
      <w:pPr>
        <w:pStyle w:val="6"/>
        <w:spacing w:line="560" w:lineRule="exact"/>
        <w:ind w:left="1320" w:firstLine="0" w:firstLineChars="0"/>
        <w:jc w:val="left"/>
        <w:rPr>
          <w:rFonts w:ascii="黑体" w:hAnsi="黑体" w:eastAsia="黑体"/>
          <w:sz w:val="32"/>
          <w:szCs w:val="32"/>
          <w:u w:val="none"/>
        </w:rPr>
      </w:pPr>
    </w:p>
    <w:p w14:paraId="5D584F21">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方正黑体_GBK" w:hAnsi="方正黑体_GBK" w:eastAsia="方正黑体_GBK" w:cs="方正黑体_GBK"/>
          <w:sz w:val="32"/>
          <w:szCs w:val="32"/>
          <w:u w:val="none"/>
        </w:rPr>
        <w:t>屯昌县屯城镇大陆坡幼儿园概况</w:t>
      </w:r>
    </w:p>
    <w:p w14:paraId="2672B49D">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14:paraId="395B01C3">
      <w:pPr>
        <w:pStyle w:val="6"/>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077989B4">
      <w:pPr>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（一）</w:t>
      </w:r>
      <w:r>
        <w:rPr>
          <w:rFonts w:ascii="仿宋_GB2312" w:hAnsi="黑体" w:eastAsia="仿宋_GB2312" w:cs="仿宋_GB2312"/>
          <w:sz w:val="32"/>
          <w:szCs w:val="32"/>
        </w:rPr>
        <w:t>为适应现代教育发展的需要，深化教育改革，全面贯彻国家的教育方针，积极推进素质教育，全面提高教育教学质量和办学效益</w:t>
      </w:r>
      <w:r>
        <w:rPr>
          <w:rFonts w:hint="eastAsia" w:ascii="仿宋_GB2312" w:hAnsi="黑体" w:eastAsia="仿宋_GB2312" w:cs="仿宋_GB2312"/>
          <w:sz w:val="32"/>
          <w:szCs w:val="32"/>
        </w:rPr>
        <w:t>。</w:t>
      </w:r>
    </w:p>
    <w:p w14:paraId="35673010">
      <w:pPr>
        <w:pStyle w:val="7"/>
        <w:ind w:firstLine="640"/>
        <w:jc w:val="left"/>
        <w:rPr>
          <w:rFonts w:ascii="仿宋_GB2312" w:hAnsi="黑体" w:eastAsia="仿宋_GB2312" w:cs="仿宋_GB2312"/>
          <w:sz w:val="32"/>
          <w:szCs w:val="32"/>
        </w:rPr>
      </w:pPr>
      <w:r>
        <w:rPr>
          <w:rFonts w:hint="eastAsia" w:ascii="仿宋_GB2312" w:hAnsi="黑体" w:eastAsia="仿宋_GB2312" w:cs="仿宋_GB2312"/>
          <w:sz w:val="32"/>
          <w:szCs w:val="32"/>
        </w:rPr>
        <w:t>（二）实行保育和教育相结合的原则，对幼儿实施体、智、德、美诸方面全面发展的教育，促进其身心和谐发展。通过组织、指挥、协调、控制等管理职能，合理利用幼儿园建设与事业发展的各种资源，确保保教质量的提高，较好的实现预期的教育培养目标和服务队伍、服务家长的任务。</w:t>
      </w:r>
    </w:p>
    <w:p w14:paraId="62CEE0C7">
      <w:pPr>
        <w:pStyle w:val="7"/>
        <w:ind w:firstLine="640"/>
        <w:jc w:val="left"/>
        <w:rPr>
          <w:rFonts w:ascii="仿宋_GB2312" w:hAnsi="黑体" w:eastAsia="仿宋_GB2312" w:cs="仿宋_GB2312"/>
          <w:sz w:val="32"/>
          <w:szCs w:val="32"/>
        </w:rPr>
      </w:pPr>
      <w:r>
        <w:rPr>
          <w:rFonts w:hint="eastAsia" w:ascii="仿宋_GB2312" w:hAnsi="黑体" w:eastAsia="仿宋_GB2312" w:cs="仿宋_GB2312"/>
          <w:sz w:val="32"/>
          <w:szCs w:val="32"/>
        </w:rPr>
        <w:t>（三）幼儿园管理人员和有关幼教执行人员遵照一定的教育方针和保教工作的客观规律，优质高效的实现国家所规定的培养目标和幼儿园工作任务。</w:t>
      </w:r>
    </w:p>
    <w:p w14:paraId="40CF01CE">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2CEF94AD">
      <w:pPr>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纳入屯昌县屯城镇大陆坡幼儿园202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预算编制范围的预算单位包括：屯昌县屯城镇大陆坡幼儿园</w:t>
      </w:r>
    </w:p>
    <w:p w14:paraId="5FD7CFE6">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ascii="仿宋_GB2312" w:hAnsi="黑体" w:eastAsia="仿宋_GB2312" w:cs="仿宋_GB2312"/>
          <w:sz w:val="32"/>
          <w:szCs w:val="32"/>
          <w:highlight w:val="yellow"/>
          <w:u w:val="none"/>
        </w:rPr>
      </w:pPr>
    </w:p>
    <w:p w14:paraId="3EBC563D">
      <w:pPr>
        <w:pStyle w:val="6"/>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14:paraId="49DCAF3D">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14:paraId="056A0457">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14:paraId="4D179F1C">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14:paraId="4E322909">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14:paraId="004E4CBC">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14:paraId="5A9C77B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5F718A4E">
      <w:pPr>
        <w:ind w:firstLine="640" w:firstLineChars="200"/>
        <w:jc w:val="left"/>
        <w:rPr>
          <w:rFonts w:ascii="仿宋_GB2312" w:hAnsi="黑体" w:eastAsia="仿宋_GB2312"/>
          <w:sz w:val="32"/>
          <w:szCs w:val="32"/>
          <w:u w:val="none"/>
        </w:rPr>
      </w:pPr>
      <w:r>
        <w:rPr>
          <w:rFonts w:hint="eastAsia" w:ascii="仿宋_GB2312" w:hAnsi="黑体" w:eastAsia="仿宋_GB2312" w:cs="仿宋_GB2312"/>
          <w:sz w:val="32"/>
          <w:szCs w:val="32"/>
        </w:rPr>
        <w:t>屯昌县屯城镇大陆坡幼儿园</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rPr>
        <w:t>185.91</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33.77</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有人员变动在编人员减少</w:t>
      </w:r>
      <w:r>
        <w:rPr>
          <w:rFonts w:hint="eastAsia" w:ascii="仿宋_GB2312" w:hAnsi="黑体" w:eastAsia="仿宋_GB2312"/>
          <w:sz w:val="32"/>
          <w:szCs w:val="32"/>
          <w:u w:val="none"/>
          <w:lang w:val="en-US" w:eastAsia="zh-CN"/>
        </w:rPr>
        <w:t>2人</w:t>
      </w:r>
      <w:r>
        <w:rPr>
          <w:rFonts w:hint="eastAsia" w:ascii="仿宋_GB2312" w:hAnsi="黑体" w:eastAsia="仿宋_GB2312"/>
          <w:sz w:val="32"/>
          <w:szCs w:val="32"/>
          <w:u w:val="none"/>
          <w:lang w:eastAsia="zh-CN"/>
        </w:rPr>
        <w:t>以及上年度有学前项目项目拨款等</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rPr>
        <w:t>185.91</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rPr>
        <w:t>181.44</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rPr>
        <w:t>4.47</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rPr>
        <w:t>185.91</w:t>
      </w:r>
      <w:r>
        <w:rPr>
          <w:rFonts w:hint="eastAsia" w:ascii="仿宋_GB2312" w:hAnsi="黑体" w:eastAsia="仿宋_GB2312"/>
          <w:color w:val="auto"/>
          <w:sz w:val="32"/>
          <w:szCs w:val="32"/>
          <w:u w:val="none"/>
        </w:rPr>
        <w:t>万元，包括 教育支出</w:t>
      </w:r>
      <w:r>
        <w:rPr>
          <w:rFonts w:hint="eastAsia" w:ascii="仿宋_GB2312" w:hAnsi="黑体" w:eastAsia="仿宋_GB2312" w:cs="仿宋_GB2312"/>
          <w:color w:val="auto"/>
          <w:sz w:val="32"/>
          <w:szCs w:val="32"/>
          <w:u w:val="none"/>
        </w:rPr>
        <w:t>128.30</w:t>
      </w:r>
      <w:r>
        <w:rPr>
          <w:rFonts w:hint="eastAsia" w:ascii="仿宋_GB2312" w:hAnsi="黑体" w:eastAsia="仿宋_GB2312"/>
          <w:color w:val="auto"/>
          <w:sz w:val="32"/>
          <w:szCs w:val="32"/>
          <w:u w:val="none"/>
        </w:rPr>
        <w:t>万元、 社会保障和就业支出</w:t>
      </w:r>
      <w:r>
        <w:rPr>
          <w:rFonts w:hint="eastAsia" w:ascii="仿宋_GB2312" w:hAnsi="黑体" w:eastAsia="仿宋_GB2312" w:cs="仿宋_GB2312"/>
          <w:color w:val="auto"/>
          <w:sz w:val="32"/>
          <w:szCs w:val="32"/>
          <w:u w:val="none"/>
        </w:rPr>
        <w:t>27.49</w:t>
      </w:r>
      <w:r>
        <w:rPr>
          <w:rFonts w:hint="eastAsia" w:ascii="仿宋_GB2312" w:hAnsi="黑体" w:eastAsia="仿宋_GB2312"/>
          <w:color w:val="auto"/>
          <w:sz w:val="32"/>
          <w:szCs w:val="32"/>
          <w:u w:val="none"/>
        </w:rPr>
        <w:t>万元、 卫生健康支出</w:t>
      </w:r>
      <w:r>
        <w:rPr>
          <w:rFonts w:hint="eastAsia" w:ascii="仿宋_GB2312" w:hAnsi="黑体" w:eastAsia="仿宋_GB2312" w:cs="仿宋_GB2312"/>
          <w:sz w:val="32"/>
          <w:szCs w:val="32"/>
          <w:u w:val="none"/>
        </w:rPr>
        <w:t>17.21</w:t>
      </w:r>
      <w:r>
        <w:rPr>
          <w:rFonts w:hint="eastAsia" w:ascii="仿宋_GB2312" w:hAnsi="黑体" w:eastAsia="仿宋_GB2312"/>
          <w:sz w:val="32"/>
          <w:szCs w:val="32"/>
          <w:u w:val="none"/>
        </w:rPr>
        <w:t>万元、住房保障支出12.91万元，结转下年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6C1BB7FF">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75CD4A31">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6725466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rPr>
        <w:t>屯昌县屯城镇大陆坡幼儿园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rPr>
        <w:t>185.91</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32.73</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由于上年度有项目拨款以及</w:t>
      </w:r>
      <w:r>
        <w:rPr>
          <w:rFonts w:hint="eastAsia" w:ascii="仿宋_GB2312" w:hAnsi="黑体" w:eastAsia="仿宋_GB2312"/>
          <w:sz w:val="32"/>
          <w:szCs w:val="32"/>
          <w:u w:val="none"/>
          <w:lang w:val="en-US" w:eastAsia="zh-CN"/>
        </w:rPr>
        <w:t>2026年有在编人员减少2人</w:t>
      </w:r>
      <w:r>
        <w:rPr>
          <w:rFonts w:hint="eastAsia" w:ascii="仿宋_GB2312" w:hAnsi="黑体" w:eastAsia="仿宋_GB2312"/>
          <w:sz w:val="32"/>
          <w:szCs w:val="32"/>
          <w:u w:val="none"/>
          <w:lang w:eastAsia="zh-CN"/>
        </w:rPr>
        <w:t>。</w:t>
      </w:r>
    </w:p>
    <w:p w14:paraId="603AB3DE">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7CF3A825">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支出128.3</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69.01</w:t>
      </w:r>
      <w:r>
        <w:rPr>
          <w:rFonts w:hint="eastAsia" w:ascii="仿宋_GB2312" w:hAnsi="黑体" w:eastAsia="仿宋_GB2312"/>
          <w:sz w:val="32"/>
          <w:szCs w:val="32"/>
          <w:u w:val="none"/>
        </w:rPr>
        <w:t>%； 社会保障和就业（类）</w:t>
      </w:r>
      <w:r>
        <w:rPr>
          <w:rFonts w:hint="eastAsia" w:ascii="仿宋_GB2312" w:hAnsi="黑体" w:eastAsia="仿宋_GB2312" w:cs="仿宋_GB2312"/>
          <w:sz w:val="32"/>
          <w:szCs w:val="32"/>
          <w:u w:val="none"/>
        </w:rPr>
        <w:t>支出27.49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14.79</w:t>
      </w:r>
      <w:r>
        <w:rPr>
          <w:rFonts w:hint="eastAsia" w:ascii="仿宋_GB2312" w:hAnsi="黑体" w:eastAsia="仿宋_GB2312"/>
          <w:sz w:val="32"/>
          <w:szCs w:val="32"/>
          <w:u w:val="none"/>
        </w:rPr>
        <w:t>%；卫生健康（类）支出17.21万元，占</w:t>
      </w:r>
      <w:r>
        <w:rPr>
          <w:rFonts w:hint="eastAsia" w:ascii="仿宋_GB2312" w:hAnsi="黑体" w:eastAsia="仿宋_GB2312" w:cs="仿宋_GB2312"/>
          <w:sz w:val="32"/>
          <w:szCs w:val="32"/>
          <w:u w:val="none"/>
          <w:lang w:val="en-US" w:eastAsia="zh-CN"/>
        </w:rPr>
        <w:t>9.26</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 住房保障</w:t>
      </w:r>
      <w:r>
        <w:rPr>
          <w:rFonts w:hint="eastAsia" w:ascii="仿宋_GB2312" w:hAnsi="黑体" w:eastAsia="仿宋_GB2312"/>
          <w:sz w:val="32"/>
          <w:szCs w:val="32"/>
          <w:u w:val="none"/>
        </w:rPr>
        <w:t>（类）</w:t>
      </w:r>
      <w:r>
        <w:rPr>
          <w:rFonts w:hint="eastAsia" w:ascii="仿宋_GB2312" w:hAnsi="黑体" w:eastAsia="仿宋_GB2312"/>
          <w:sz w:val="32"/>
          <w:szCs w:val="32"/>
          <w:u w:val="none"/>
          <w:lang w:eastAsia="zh-CN"/>
        </w:rPr>
        <w:t>支出12.91</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6.94</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14:paraId="07789740">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40FCF0FD">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1.教育支出（类）普通教育（款）学前教育（项）202</w:t>
      </w:r>
      <w:r>
        <w:rPr>
          <w:rFonts w:hint="eastAsia" w:ascii="仿宋" w:hAnsi="仿宋" w:eastAsia="仿宋" w:cs="仿宋"/>
          <w:sz w:val="32"/>
          <w:szCs w:val="32"/>
          <w:lang w:val="en-US" w:eastAsia="zh-CN"/>
        </w:rPr>
        <w:t>6</w:t>
      </w:r>
      <w:r>
        <w:rPr>
          <w:rFonts w:hint="eastAsia" w:ascii="仿宋" w:hAnsi="仿宋" w:eastAsia="仿宋" w:cs="仿宋"/>
          <w:sz w:val="32"/>
          <w:szCs w:val="32"/>
        </w:rPr>
        <w:t>年预算数为</w:t>
      </w:r>
      <w:r>
        <w:rPr>
          <w:rFonts w:hint="eastAsia" w:ascii="仿宋_GB2312" w:hAnsi="黑体" w:eastAsia="仿宋_GB2312" w:cs="仿宋_GB2312"/>
          <w:sz w:val="32"/>
          <w:szCs w:val="32"/>
          <w:u w:val="none"/>
        </w:rPr>
        <w:t>128.3</w:t>
      </w:r>
      <w:r>
        <w:rPr>
          <w:rFonts w:hint="eastAsia" w:ascii="仿宋" w:hAnsi="仿宋" w:eastAsia="仿宋" w:cs="仿宋"/>
          <w:sz w:val="32"/>
          <w:szCs w:val="32"/>
        </w:rPr>
        <w:t>万元，比上年预算数</w:t>
      </w:r>
      <w:r>
        <w:rPr>
          <w:rFonts w:hint="eastAsia" w:ascii="仿宋" w:hAnsi="仿宋" w:eastAsia="仿宋" w:cs="仿宋"/>
          <w:sz w:val="32"/>
          <w:szCs w:val="32"/>
          <w:lang w:eastAsia="zh-CN"/>
        </w:rPr>
        <w:t>减少</w:t>
      </w:r>
      <w:r>
        <w:rPr>
          <w:rFonts w:hint="eastAsia" w:ascii="仿宋" w:hAnsi="仿宋" w:eastAsia="仿宋" w:cs="仿宋"/>
          <w:sz w:val="32"/>
          <w:szCs w:val="32"/>
          <w:lang w:val="en-US" w:eastAsia="zh-CN"/>
        </w:rPr>
        <w:t>23.81</w:t>
      </w:r>
      <w:r>
        <w:rPr>
          <w:rFonts w:hint="eastAsia" w:ascii="仿宋" w:hAnsi="仿宋" w:eastAsia="仿宋" w:cs="仿宋"/>
          <w:sz w:val="32"/>
          <w:szCs w:val="32"/>
        </w:rPr>
        <w:t>万元，主要是</w:t>
      </w:r>
      <w:r>
        <w:rPr>
          <w:rFonts w:hint="eastAsia" w:ascii="仿宋" w:hAnsi="仿宋" w:eastAsia="仿宋" w:cs="仿宋"/>
          <w:sz w:val="32"/>
          <w:szCs w:val="32"/>
          <w:lang w:eastAsia="zh-CN"/>
        </w:rPr>
        <w:t>由于上年度有学前教育发展资金项目拨款</w:t>
      </w:r>
      <w:r>
        <w:rPr>
          <w:rFonts w:hint="eastAsia" w:ascii="仿宋" w:hAnsi="仿宋" w:eastAsia="仿宋" w:cs="仿宋"/>
          <w:sz w:val="32"/>
          <w:szCs w:val="32"/>
        </w:rPr>
        <w:t>。</w:t>
      </w:r>
    </w:p>
    <w:p w14:paraId="6AC5B213">
      <w:pPr>
        <w:spacing w:line="578"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 社会保障和就业支出（类）行政事业单位离退休（款）机关事业单位基本养老保险缴费支出（项）202</w:t>
      </w:r>
      <w:r>
        <w:rPr>
          <w:rFonts w:hint="eastAsia" w:ascii="仿宋" w:hAnsi="仿宋" w:eastAsia="仿宋" w:cs="仿宋"/>
          <w:sz w:val="32"/>
          <w:szCs w:val="32"/>
          <w:lang w:val="en-US" w:eastAsia="zh-CN"/>
        </w:rPr>
        <w:t>6</w:t>
      </w:r>
      <w:r>
        <w:rPr>
          <w:rFonts w:hint="eastAsia" w:ascii="仿宋" w:hAnsi="仿宋" w:eastAsia="仿宋" w:cs="仿宋"/>
          <w:sz w:val="32"/>
          <w:szCs w:val="32"/>
        </w:rPr>
        <w:t>年预算数为</w:t>
      </w:r>
      <w:r>
        <w:rPr>
          <w:rFonts w:hint="eastAsia" w:ascii="仿宋_GB2312" w:hAnsi="黑体" w:eastAsia="仿宋_GB2312" w:cs="仿宋_GB2312"/>
          <w:sz w:val="32"/>
          <w:szCs w:val="32"/>
          <w:u w:val="none"/>
        </w:rPr>
        <w:t>27.49</w:t>
      </w:r>
      <w:r>
        <w:rPr>
          <w:rFonts w:hint="eastAsia" w:ascii="仿宋" w:hAnsi="仿宋" w:eastAsia="仿宋" w:cs="仿宋"/>
          <w:sz w:val="32"/>
          <w:szCs w:val="32"/>
        </w:rPr>
        <w:t>万元，比上年预算数</w:t>
      </w:r>
      <w:r>
        <w:rPr>
          <w:rFonts w:hint="eastAsia" w:ascii="仿宋" w:hAnsi="仿宋" w:eastAsia="仿宋" w:cs="仿宋"/>
          <w:sz w:val="32"/>
          <w:szCs w:val="32"/>
          <w:lang w:eastAsia="zh-CN"/>
        </w:rPr>
        <w:t>减少</w:t>
      </w:r>
      <w:r>
        <w:rPr>
          <w:rFonts w:hint="eastAsia" w:ascii="仿宋" w:hAnsi="仿宋" w:eastAsia="仿宋" w:cs="仿宋"/>
          <w:sz w:val="32"/>
          <w:szCs w:val="32"/>
          <w:lang w:val="en-US" w:eastAsia="zh-CN"/>
        </w:rPr>
        <w:t>1.38</w:t>
      </w:r>
      <w:r>
        <w:rPr>
          <w:rFonts w:hint="eastAsia" w:ascii="仿宋" w:hAnsi="仿宋" w:eastAsia="仿宋" w:cs="仿宋"/>
          <w:sz w:val="32"/>
          <w:szCs w:val="32"/>
        </w:rPr>
        <w:t>万元，主要是</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1.2026年有在编人员减少，2.</w:t>
      </w:r>
      <w:r>
        <w:rPr>
          <w:rFonts w:hint="eastAsia" w:ascii="仿宋" w:hAnsi="仿宋" w:eastAsia="仿宋" w:cs="仿宋"/>
          <w:sz w:val="32"/>
          <w:szCs w:val="32"/>
          <w:lang w:eastAsia="zh-CN"/>
        </w:rPr>
        <w:t>人员社保基数有变动。</w:t>
      </w:r>
    </w:p>
    <w:p w14:paraId="0E0918C3">
      <w:pPr>
        <w:spacing w:line="578"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3、卫生健康支出（类）行政事业单位医疗（款）事业单位医疗（项）202</w:t>
      </w:r>
      <w:r>
        <w:rPr>
          <w:rFonts w:hint="eastAsia" w:ascii="仿宋" w:hAnsi="仿宋" w:eastAsia="仿宋" w:cs="仿宋"/>
          <w:sz w:val="32"/>
          <w:szCs w:val="32"/>
          <w:lang w:val="en-US" w:eastAsia="zh-CN"/>
        </w:rPr>
        <w:t>6</w:t>
      </w:r>
      <w:r>
        <w:rPr>
          <w:rFonts w:hint="eastAsia" w:ascii="仿宋" w:hAnsi="仿宋" w:eastAsia="仿宋" w:cs="仿宋"/>
          <w:sz w:val="32"/>
          <w:szCs w:val="32"/>
        </w:rPr>
        <w:t>年预算数为</w:t>
      </w:r>
      <w:r>
        <w:rPr>
          <w:rFonts w:hint="eastAsia" w:ascii="仿宋_GB2312" w:hAnsi="黑体" w:eastAsia="仿宋_GB2312"/>
          <w:sz w:val="32"/>
          <w:szCs w:val="32"/>
          <w:u w:val="none"/>
        </w:rPr>
        <w:t>17.21</w:t>
      </w:r>
      <w:r>
        <w:rPr>
          <w:rFonts w:hint="eastAsia" w:ascii="仿宋" w:hAnsi="仿宋" w:eastAsia="仿宋" w:cs="仿宋"/>
          <w:sz w:val="32"/>
          <w:szCs w:val="32"/>
        </w:rPr>
        <w:t>万元，比上年预算数</w:t>
      </w:r>
      <w:r>
        <w:rPr>
          <w:rFonts w:hint="eastAsia" w:ascii="仿宋" w:hAnsi="仿宋" w:eastAsia="仿宋" w:cs="仿宋"/>
          <w:sz w:val="32"/>
          <w:szCs w:val="32"/>
          <w:lang w:eastAsia="zh-CN"/>
        </w:rPr>
        <w:t>减少</w:t>
      </w:r>
      <w:r>
        <w:rPr>
          <w:rFonts w:hint="eastAsia" w:ascii="仿宋" w:hAnsi="仿宋" w:eastAsia="仿宋" w:cs="仿宋"/>
          <w:sz w:val="32"/>
          <w:szCs w:val="32"/>
          <w:lang w:val="en-US" w:eastAsia="zh-CN"/>
        </w:rPr>
        <w:t>4.32</w:t>
      </w:r>
      <w:r>
        <w:rPr>
          <w:rFonts w:hint="eastAsia" w:ascii="仿宋" w:hAnsi="仿宋" w:eastAsia="仿宋" w:cs="仿宋"/>
          <w:sz w:val="32"/>
          <w:szCs w:val="32"/>
        </w:rPr>
        <w:t>万元，主要是</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1.2026年有在编人员减少，2.</w:t>
      </w:r>
      <w:r>
        <w:rPr>
          <w:rFonts w:hint="eastAsia" w:ascii="仿宋" w:hAnsi="仿宋" w:eastAsia="仿宋" w:cs="仿宋"/>
          <w:sz w:val="32"/>
          <w:szCs w:val="32"/>
          <w:lang w:eastAsia="zh-CN"/>
        </w:rPr>
        <w:t>人员社保医疗基数有变动。</w:t>
      </w:r>
    </w:p>
    <w:p w14:paraId="762A6F7A">
      <w:pPr>
        <w:spacing w:line="578" w:lineRule="exact"/>
        <w:ind w:firstLine="640" w:firstLineChars="200"/>
        <w:rPr>
          <w:rFonts w:hint="eastAsia" w:ascii="仿宋_GB2312" w:hAnsi="黑体" w:eastAsia="仿宋_GB2312" w:cs="仿宋_GB2312"/>
          <w:sz w:val="32"/>
          <w:szCs w:val="32"/>
          <w:u w:val="none"/>
          <w:lang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、住房保障支出（类）住房改革支出（款）住房公积金（项）202</w:t>
      </w:r>
      <w:r>
        <w:rPr>
          <w:rFonts w:hint="eastAsia" w:ascii="仿宋" w:hAnsi="仿宋" w:eastAsia="仿宋" w:cs="仿宋"/>
          <w:sz w:val="32"/>
          <w:szCs w:val="32"/>
          <w:lang w:val="en-US" w:eastAsia="zh-CN"/>
        </w:rPr>
        <w:t>6</w:t>
      </w:r>
      <w:r>
        <w:rPr>
          <w:rFonts w:hint="eastAsia" w:ascii="仿宋" w:hAnsi="仿宋" w:eastAsia="仿宋" w:cs="仿宋"/>
          <w:sz w:val="32"/>
          <w:szCs w:val="32"/>
        </w:rPr>
        <w:t>年预算数为</w:t>
      </w:r>
      <w:r>
        <w:rPr>
          <w:rFonts w:hint="eastAsia" w:ascii="仿宋_GB2312" w:hAnsi="黑体" w:eastAsia="仿宋_GB2312"/>
          <w:sz w:val="32"/>
          <w:szCs w:val="32"/>
          <w:u w:val="none"/>
          <w:lang w:eastAsia="zh-CN"/>
        </w:rPr>
        <w:t>12.91</w:t>
      </w:r>
      <w:r>
        <w:rPr>
          <w:rFonts w:hint="eastAsia" w:ascii="仿宋" w:hAnsi="仿宋" w:eastAsia="仿宋" w:cs="仿宋"/>
          <w:sz w:val="32"/>
          <w:szCs w:val="32"/>
        </w:rPr>
        <w:t>万元，</w:t>
      </w:r>
      <w:r>
        <w:rPr>
          <w:rFonts w:hint="eastAsia" w:ascii="仿宋" w:hAnsi="仿宋" w:eastAsia="仿宋" w:cs="仿宋"/>
          <w:sz w:val="32"/>
          <w:szCs w:val="32"/>
          <w:lang w:eastAsia="zh-CN"/>
        </w:rPr>
        <w:t>减少</w:t>
      </w:r>
      <w:r>
        <w:rPr>
          <w:rFonts w:hint="eastAsia" w:ascii="仿宋" w:hAnsi="仿宋" w:eastAsia="仿宋" w:cs="仿宋"/>
          <w:sz w:val="32"/>
          <w:szCs w:val="32"/>
          <w:lang w:val="en-US" w:eastAsia="zh-CN"/>
        </w:rPr>
        <w:t>4.26</w:t>
      </w:r>
      <w:r>
        <w:rPr>
          <w:rFonts w:hint="eastAsia" w:ascii="仿宋" w:hAnsi="仿宋" w:eastAsia="仿宋" w:cs="仿宋"/>
          <w:sz w:val="32"/>
          <w:szCs w:val="32"/>
        </w:rPr>
        <w:t>万元，主要是</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1.2026年有在编人员减少，2.</w:t>
      </w:r>
      <w:r>
        <w:rPr>
          <w:rFonts w:hint="eastAsia" w:ascii="仿宋" w:hAnsi="仿宋" w:eastAsia="仿宋" w:cs="仿宋"/>
          <w:sz w:val="32"/>
          <w:szCs w:val="32"/>
          <w:lang w:eastAsia="zh-CN"/>
        </w:rPr>
        <w:t>人员公积金基数有变动。</w:t>
      </w:r>
    </w:p>
    <w:p w14:paraId="6209A8A6">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68DA4B5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rPr>
        <w:t>屯昌县屯城镇大陆坡幼儿园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rPr>
        <w:t>181.06</w:t>
      </w:r>
      <w:r>
        <w:rPr>
          <w:rFonts w:hint="eastAsia" w:ascii="仿宋_GB2312" w:hAnsi="黑体" w:eastAsia="仿宋_GB2312"/>
          <w:sz w:val="32"/>
          <w:szCs w:val="32"/>
          <w:u w:val="none"/>
        </w:rPr>
        <w:t>万元，其中：</w:t>
      </w:r>
    </w:p>
    <w:p w14:paraId="4980183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rPr>
        <w:t>179.87</w:t>
      </w:r>
      <w:r>
        <w:rPr>
          <w:rFonts w:hint="eastAsia" w:ascii="仿宋_GB2312" w:hAnsi="黑体" w:eastAsia="仿宋_GB2312"/>
          <w:sz w:val="32"/>
          <w:szCs w:val="32"/>
          <w:u w:val="none"/>
        </w:rPr>
        <w:t>万元，主要包括：基本工资、津贴补贴、奖金、社会保障缴费、</w:t>
      </w:r>
      <w:r>
        <w:rPr>
          <w:rFonts w:hint="eastAsia" w:ascii="仿宋" w:hAnsi="仿宋" w:eastAsia="仿宋" w:cs="仿宋"/>
          <w:sz w:val="32"/>
          <w:szCs w:val="32"/>
        </w:rPr>
        <w:t>商品和服务支出</w:t>
      </w:r>
      <w:r>
        <w:rPr>
          <w:rFonts w:hint="eastAsia" w:ascii="仿宋" w:hAnsi="仿宋" w:eastAsia="仿宋" w:cs="仿宋"/>
          <w:sz w:val="32"/>
          <w:szCs w:val="32"/>
          <w:lang w:eastAsia="zh-CN"/>
        </w:rPr>
        <w:t>等。</w:t>
      </w:r>
    </w:p>
    <w:p w14:paraId="4D2D672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rPr>
        <w:t>1.20</w:t>
      </w:r>
      <w:r>
        <w:rPr>
          <w:rFonts w:hint="eastAsia" w:ascii="仿宋_GB2312" w:hAnsi="黑体" w:eastAsia="仿宋_GB2312"/>
          <w:sz w:val="32"/>
          <w:szCs w:val="32"/>
          <w:u w:val="none"/>
        </w:rPr>
        <w:t>万元，主要包括：</w:t>
      </w:r>
      <w:r>
        <w:rPr>
          <w:rFonts w:hint="eastAsia" w:ascii="仿宋" w:hAnsi="仿宋" w:eastAsia="仿宋" w:cs="仿宋"/>
          <w:sz w:val="32"/>
          <w:szCs w:val="32"/>
        </w:rPr>
        <w:t>商品和服务支出</w:t>
      </w:r>
      <w:r>
        <w:rPr>
          <w:rFonts w:hint="eastAsia" w:ascii="仿宋" w:hAnsi="仿宋" w:eastAsia="仿宋" w:cs="仿宋"/>
          <w:sz w:val="32"/>
          <w:szCs w:val="32"/>
          <w:lang w:eastAsia="zh-CN"/>
        </w:rPr>
        <w:t>、工会经费</w:t>
      </w:r>
      <w:r>
        <w:rPr>
          <w:rFonts w:hint="eastAsia" w:ascii="仿宋_GB2312" w:hAnsi="黑体" w:eastAsia="仿宋_GB2312"/>
          <w:sz w:val="32"/>
          <w:szCs w:val="32"/>
          <w:u w:val="none"/>
        </w:rPr>
        <w:t>。</w:t>
      </w:r>
    </w:p>
    <w:p w14:paraId="5B6E78A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14:paraId="6A52FA8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（一）</w:t>
      </w:r>
      <w:r>
        <w:rPr>
          <w:rFonts w:hint="eastAsia" w:ascii="仿宋_GB2312" w:hAnsi="黑体" w:eastAsia="仿宋_GB2312" w:cs="仿宋_GB2312"/>
          <w:sz w:val="32"/>
          <w:szCs w:val="32"/>
        </w:rPr>
        <w:t>屯昌县屯城镇大陆坡幼儿园</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年一般公共预算“三公”经费预算数为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p>
    <w:p w14:paraId="3ED5373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公务用车购置及运行费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p>
    <w:p w14:paraId="4BA1CDE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公务接待费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元。</w:t>
      </w:r>
    </w:p>
    <w:p w14:paraId="5FEF7B6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（二）</w:t>
      </w:r>
      <w:r>
        <w:rPr>
          <w:rFonts w:hint="eastAsia" w:ascii="仿宋_GB2312" w:hAnsi="黑体" w:eastAsia="仿宋_GB2312" w:cs="仿宋_GB2312"/>
          <w:sz w:val="32"/>
          <w:szCs w:val="32"/>
        </w:rPr>
        <w:t>屯昌县屯城镇大陆坡幼儿园</w:t>
      </w:r>
      <w:r>
        <w:rPr>
          <w:rFonts w:hint="eastAsia" w:ascii="仿宋_GB2312" w:hAnsi="黑体" w:eastAsia="仿宋_GB2312"/>
          <w:sz w:val="32"/>
          <w:szCs w:val="32"/>
          <w:u w:val="none"/>
          <w:lang w:eastAsia="zh-CN"/>
        </w:rPr>
        <w:t>2</w:t>
      </w:r>
      <w:r>
        <w:rPr>
          <w:rFonts w:hint="eastAsia" w:ascii="仿宋_GB2312" w:hAnsi="黑体" w:eastAsia="仿宋_GB2312"/>
          <w:sz w:val="32"/>
          <w:szCs w:val="32"/>
          <w:u w:val="none"/>
          <w:lang w:val="en-US" w:eastAsia="zh-CN"/>
        </w:rPr>
        <w:t>026</w:t>
      </w:r>
      <w:r>
        <w:rPr>
          <w:rFonts w:hint="eastAsia" w:ascii="仿宋_GB2312" w:hAnsi="黑体" w:eastAsia="仿宋_GB2312"/>
          <w:sz w:val="32"/>
          <w:szCs w:val="32"/>
          <w:u w:val="none"/>
        </w:rPr>
        <w:t>年政府性基金预算“三公”经费预算数为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p>
    <w:p w14:paraId="27A79F7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因公出国（境）经费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p>
    <w:p w14:paraId="1C963D4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公务用车购置及运行费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14:paraId="62707C4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公务接待费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14:paraId="0B1BBE0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14:paraId="6ECC203C">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3BF718C6">
      <w:pPr>
        <w:ind w:firstLine="640" w:firstLineChars="200"/>
        <w:rPr>
          <w:rFonts w:hint="eastAsia" w:ascii="仿宋" w:hAnsi="仿宋" w:eastAsia="仿宋" w:cs="仿宋"/>
          <w:sz w:val="32"/>
          <w:szCs w:val="32"/>
        </w:rPr>
      </w:pPr>
      <w:r>
        <w:rPr>
          <w:rFonts w:hint="eastAsia" w:ascii="仿宋_GB2312" w:hAnsi="黑体" w:eastAsia="仿宋_GB2312" w:cs="仿宋_GB2312"/>
          <w:sz w:val="32"/>
          <w:szCs w:val="32"/>
        </w:rPr>
        <w:t>屯昌县屯城镇大陆坡幼儿园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 w:hAnsi="仿宋" w:eastAsia="仿宋" w:cs="仿宋"/>
          <w:sz w:val="32"/>
          <w:szCs w:val="32"/>
        </w:rPr>
        <w:t>比上年持平，主要是</w:t>
      </w:r>
      <w:r>
        <w:rPr>
          <w:rFonts w:hint="eastAsia" w:ascii="仿宋_GB2312" w:hAnsi="黑体" w:eastAsia="仿宋_GB2312"/>
          <w:sz w:val="32"/>
          <w:szCs w:val="32"/>
        </w:rPr>
        <w:t>无创文项目</w:t>
      </w:r>
      <w:r>
        <w:rPr>
          <w:rFonts w:hint="eastAsia" w:ascii="仿宋" w:hAnsi="仿宋" w:eastAsia="仿宋" w:cs="仿宋"/>
          <w:sz w:val="32"/>
          <w:szCs w:val="32"/>
        </w:rPr>
        <w:t>。</w:t>
      </w:r>
    </w:p>
    <w:p w14:paraId="2A24129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5DD8030D">
      <w:pPr>
        <w:ind w:firstLine="640" w:firstLineChars="200"/>
        <w:rPr>
          <w:rFonts w:ascii="仿宋_GB2312" w:hAnsi="黑体" w:eastAsia="仿宋_GB2312"/>
          <w:sz w:val="32"/>
          <w:szCs w:val="32"/>
        </w:rPr>
      </w:pPr>
      <w:r>
        <w:rPr>
          <w:rFonts w:hint="eastAsia" w:ascii="仿宋_GB2312" w:hAnsi="黑体" w:eastAsia="仿宋_GB2312"/>
          <w:sz w:val="32"/>
          <w:szCs w:val="32"/>
        </w:rPr>
        <w:t>无政府性基金预算。</w:t>
      </w:r>
    </w:p>
    <w:p w14:paraId="71977326">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3CC25041">
      <w:pPr>
        <w:ind w:firstLine="640" w:firstLineChars="200"/>
        <w:rPr>
          <w:rFonts w:ascii="仿宋_GB2312" w:hAnsi="黑体" w:eastAsia="仿宋_GB2312"/>
          <w:sz w:val="32"/>
          <w:szCs w:val="32"/>
        </w:rPr>
      </w:pPr>
      <w:r>
        <w:rPr>
          <w:rFonts w:hint="eastAsia" w:ascii="仿宋_GB2312" w:hAnsi="黑体" w:eastAsia="仿宋_GB2312"/>
          <w:sz w:val="32"/>
          <w:szCs w:val="32"/>
        </w:rPr>
        <w:t>无政府性基金预算。</w:t>
      </w:r>
    </w:p>
    <w:p w14:paraId="223FA790">
      <w:pPr>
        <w:keepNext w:val="0"/>
        <w:keepLines w:val="0"/>
        <w:pageBreakBefore w:val="0"/>
        <w:numPr>
          <w:ilvl w:val="0"/>
          <w:numId w:val="3"/>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14:paraId="532ED9F5">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rPr>
        <w:t>屯昌县屯城镇大陆坡幼儿园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无国有资本经营</w:t>
      </w:r>
      <w:r>
        <w:rPr>
          <w:rFonts w:hint="eastAsia" w:ascii="仿宋_GB2312" w:hAnsi="黑体" w:eastAsia="仿宋_GB2312"/>
          <w:sz w:val="32"/>
          <w:szCs w:val="32"/>
          <w:u w:val="none"/>
        </w:rPr>
        <w:t>预算</w:t>
      </w:r>
      <w:r>
        <w:rPr>
          <w:rFonts w:hint="eastAsia" w:ascii="仿宋_GB2312" w:hAnsi="黑体" w:eastAsia="仿宋_GB2312"/>
          <w:sz w:val="32"/>
          <w:szCs w:val="32"/>
          <w:u w:val="none"/>
          <w:lang w:eastAsia="zh-CN"/>
        </w:rPr>
        <w:t>项目。</w:t>
      </w:r>
    </w:p>
    <w:p w14:paraId="20BC6F8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14:paraId="2D17EF9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rPr>
        <w:t>屯昌县屯城镇大陆坡幼儿园</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rPr>
        <w:t>185.91</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收入包括：一般公共预算拨款收入</w:t>
      </w:r>
      <w:r>
        <w:rPr>
          <w:rFonts w:hint="eastAsia" w:ascii="仿宋_GB2312" w:hAnsi="黑体" w:eastAsia="仿宋_GB2312"/>
          <w:sz w:val="32"/>
          <w:szCs w:val="32"/>
          <w:highlight w:val="none"/>
          <w:u w:val="none"/>
        </w:rPr>
        <w:t>；支出包括：教育支出、社会保障和就业支出</w:t>
      </w:r>
      <w:r>
        <w:rPr>
          <w:rFonts w:hint="eastAsia" w:ascii="仿宋_GB2312" w:hAnsi="黑体" w:eastAsia="仿宋_GB2312"/>
          <w:sz w:val="32"/>
          <w:szCs w:val="32"/>
          <w:highlight w:val="none"/>
          <w:u w:val="none"/>
          <w:lang w:eastAsia="zh-CN"/>
        </w:rPr>
        <w:t>、卫生健康支出、住房保障支出</w:t>
      </w:r>
      <w:r>
        <w:rPr>
          <w:rFonts w:ascii="仿宋_GB2312" w:hAnsi="黑体" w:eastAsia="仿宋_GB2312"/>
          <w:sz w:val="32"/>
          <w:szCs w:val="32"/>
          <w:highlight w:val="none"/>
          <w:u w:val="none"/>
        </w:rPr>
        <w:t>…</w:t>
      </w:r>
      <w:r>
        <w:rPr>
          <w:rFonts w:ascii="仿宋_GB2312" w:hAnsi="黑体" w:eastAsia="仿宋_GB2312"/>
          <w:sz w:val="32"/>
          <w:szCs w:val="32"/>
          <w:u w:val="none"/>
        </w:rPr>
        <w:t>…</w:t>
      </w:r>
      <w:r>
        <w:rPr>
          <w:rFonts w:hint="eastAsia" w:ascii="仿宋_GB2312" w:hAnsi="黑体" w:eastAsia="仿宋_GB2312"/>
          <w:sz w:val="32"/>
          <w:szCs w:val="32"/>
          <w:u w:val="none"/>
        </w:rPr>
        <w:t>。</w:t>
      </w:r>
    </w:p>
    <w:p w14:paraId="60ED518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14:paraId="1D7A3B1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rPr>
        <w:t>屯昌县屯城镇大陆坡幼儿园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年收入预算185.91万元，其中：上年结转</w:t>
      </w:r>
      <w:r>
        <w:rPr>
          <w:rFonts w:hint="eastAsia" w:ascii="仿宋_GB2312" w:hAnsi="黑体" w:eastAsia="仿宋_GB2312" w:cs="仿宋_GB2312"/>
          <w:sz w:val="32"/>
          <w:szCs w:val="32"/>
          <w:u w:val="none"/>
        </w:rPr>
        <w:t>4.47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2.4</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rPr>
        <w:t>181.44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97.6</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33.77</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由于上年度有学前教育项目拨款，以及</w:t>
      </w:r>
      <w:r>
        <w:rPr>
          <w:rFonts w:hint="eastAsia" w:ascii="仿宋_GB2312" w:hAnsi="黑体" w:eastAsia="仿宋_GB2312"/>
          <w:sz w:val="32"/>
          <w:szCs w:val="32"/>
          <w:u w:val="none"/>
          <w:lang w:val="en-US" w:eastAsia="zh-CN"/>
        </w:rPr>
        <w:t>2026年度有在编人员减少</w:t>
      </w:r>
      <w:r>
        <w:rPr>
          <w:rFonts w:hint="eastAsia" w:ascii="仿宋_GB2312" w:hAnsi="黑体" w:eastAsia="仿宋_GB2312"/>
          <w:sz w:val="32"/>
          <w:szCs w:val="32"/>
          <w:u w:val="none"/>
        </w:rPr>
        <w:t>。</w:t>
      </w:r>
    </w:p>
    <w:p w14:paraId="621D3E4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14:paraId="30A1681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rPr>
        <w:t>屯昌县屯城镇大陆坡幼儿园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rPr>
        <w:t>185.91</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181.07</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97.4</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rPr>
        <w:t>4.85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2.6</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33.77</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由于上年度有学前教育项目拨款，以及</w:t>
      </w:r>
      <w:r>
        <w:rPr>
          <w:rFonts w:hint="eastAsia" w:ascii="仿宋_GB2312" w:hAnsi="黑体" w:eastAsia="仿宋_GB2312"/>
          <w:sz w:val="32"/>
          <w:szCs w:val="32"/>
          <w:u w:val="none"/>
          <w:lang w:val="en-US" w:eastAsia="zh-CN"/>
        </w:rPr>
        <w:t>2026年度有在编人员减少</w:t>
      </w:r>
      <w:r>
        <w:rPr>
          <w:rFonts w:hint="eastAsia" w:ascii="仿宋_GB2312" w:hAnsi="黑体" w:eastAsia="仿宋_GB2312"/>
          <w:sz w:val="32"/>
          <w:szCs w:val="32"/>
          <w:u w:val="none"/>
        </w:rPr>
        <w:t>。</w:t>
      </w:r>
    </w:p>
    <w:p w14:paraId="71A637D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14:paraId="0F55E1C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510B1AE8">
      <w:pPr>
        <w:ind w:firstLine="640" w:firstLineChars="200"/>
        <w:rPr>
          <w:rFonts w:ascii="楷体" w:hAnsi="楷体" w:eastAsia="楷体"/>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年屯昌县屯城镇大陆坡幼儿园无机关运行经费预算。</w:t>
      </w:r>
    </w:p>
    <w:p w14:paraId="6E7E25A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（二）政府采购情况</w:t>
      </w:r>
    </w:p>
    <w:p w14:paraId="54E30C8E">
      <w:pPr>
        <w:ind w:firstLine="640" w:firstLineChars="200"/>
        <w:rPr>
          <w:rFonts w:ascii="楷体" w:hAnsi="楷体" w:eastAsia="楷体"/>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年屯昌县屯城镇大陆坡幼儿园各预算单位无政府采购预算。</w:t>
      </w:r>
    </w:p>
    <w:p w14:paraId="331D890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（三）国有资产占有使用情况</w:t>
      </w:r>
    </w:p>
    <w:p w14:paraId="4D786C7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cs="仿宋_GB2312"/>
          <w:sz w:val="32"/>
          <w:szCs w:val="32"/>
        </w:rPr>
        <w:t>屯昌县屯城镇大陆坡幼儿园</w:t>
      </w:r>
      <w:r>
        <w:rPr>
          <w:rFonts w:hint="eastAsia" w:ascii="仿宋_GB2312" w:hAnsi="黑体" w:eastAsia="仿宋_GB2312" w:cs="仿宋_GB2312"/>
          <w:sz w:val="32"/>
          <w:szCs w:val="32"/>
          <w:u w:val="none"/>
        </w:rPr>
        <w:t>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5E8DA3A1">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059BE71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12</w:t>
      </w:r>
      <w:r>
        <w:rPr>
          <w:rFonts w:hint="eastAsia" w:ascii="仿宋_GB2312" w:hAnsi="黑体" w:eastAsia="仿宋_GB2312" w:cs="仿宋_GB2312"/>
          <w:sz w:val="32"/>
          <w:szCs w:val="32"/>
          <w:u w:val="none"/>
        </w:rPr>
        <w:t>个项目实行绩效目标管理，涉及一般公共预算181.44</w:t>
      </w:r>
      <w:r>
        <w:rPr>
          <w:rFonts w:hint="eastAsia" w:ascii="仿宋_GB2312" w:hAnsi="黑体" w:eastAsia="仿宋_GB2312"/>
          <w:sz w:val="32"/>
          <w:szCs w:val="32"/>
          <w:u w:val="none"/>
        </w:rPr>
        <w:t>万元。</w:t>
      </w:r>
    </w:p>
    <w:p w14:paraId="2E25DBD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317E412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46000021R000000006640-工资奖金津补贴</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121.51</w:t>
      </w:r>
      <w:r>
        <w:rPr>
          <w:rFonts w:hint="eastAsia" w:ascii="仿宋_GB2312" w:hAnsi="黑体" w:eastAsia="仿宋_GB2312" w:cs="仿宋_GB2312"/>
          <w:sz w:val="32"/>
          <w:szCs w:val="32"/>
          <w:u w:val="none"/>
          <w:lang w:eastAsia="zh-CN"/>
        </w:rPr>
        <w:t>万元，主要用于发放</w:t>
      </w:r>
      <w:r>
        <w:rPr>
          <w:rFonts w:hint="eastAsia" w:ascii="仿宋_GB2312" w:hAnsi="黑体" w:eastAsia="仿宋_GB2312" w:cs="仿宋_GB2312"/>
          <w:sz w:val="32"/>
          <w:szCs w:val="32"/>
          <w:u w:val="none"/>
        </w:rPr>
        <w:t>工资奖金津补贴</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严格执行相关政策，保障工资及时、足额发放或社保及时、足额缴纳，预算编制科学合理，减少结余资金。</w:t>
      </w:r>
    </w:p>
    <w:p w14:paraId="1BA1779E">
      <w:pPr>
        <w:keepNext w:val="0"/>
        <w:keepLines w:val="0"/>
        <w:pageBreakBefore w:val="0"/>
        <w:numPr>
          <w:ilvl w:val="0"/>
          <w:numId w:val="4"/>
        </w:numPr>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rPr>
        <w:t>46000021R000000006642-养老保险</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18.50</w:t>
      </w:r>
      <w:r>
        <w:rPr>
          <w:rFonts w:hint="eastAsia" w:ascii="仿宋_GB2312" w:hAnsi="黑体" w:eastAsia="仿宋_GB2312" w:cs="仿宋_GB2312"/>
          <w:sz w:val="32"/>
          <w:szCs w:val="32"/>
          <w:u w:val="none"/>
          <w:lang w:eastAsia="zh-CN"/>
        </w:rPr>
        <w:t>万元，主要用于发放养老保险，绩效目标是</w:t>
      </w:r>
      <w:r>
        <w:rPr>
          <w:rFonts w:hint="eastAsia" w:ascii="仿宋_GB2312" w:hAnsi="黑体" w:eastAsia="仿宋_GB2312" w:cs="仿宋_GB2312"/>
          <w:sz w:val="32"/>
          <w:szCs w:val="32"/>
          <w:u w:val="none"/>
        </w:rPr>
        <w:t>严格执行相关政策，保障工资及时、足额发放或社保及时、足额缴纳，预算编制科学合理，减少结余资金。</w:t>
      </w:r>
    </w:p>
    <w:p w14:paraId="24D16B3B">
      <w:pPr>
        <w:keepNext w:val="0"/>
        <w:keepLines w:val="0"/>
        <w:pageBreakBefore w:val="0"/>
        <w:numPr>
          <w:ilvl w:val="0"/>
          <w:numId w:val="4"/>
        </w:numPr>
        <w:kinsoku/>
        <w:wordWrap/>
        <w:overflowPunct/>
        <w:topLinePunct w:val="0"/>
        <w:autoSpaceDE/>
        <w:autoSpaceDN/>
        <w:bidi w:val="0"/>
        <w:adjustRightInd/>
        <w:snapToGrid/>
        <w:spacing w:line="590" w:lineRule="exact"/>
        <w:ind w:left="0" w:leftChars="0"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rPr>
        <w:t>46000021R000000006643-职业年金</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8.99</w:t>
      </w:r>
      <w:r>
        <w:rPr>
          <w:rFonts w:hint="eastAsia" w:ascii="仿宋_GB2312" w:hAnsi="黑体" w:eastAsia="仿宋_GB2312" w:cs="仿宋_GB2312"/>
          <w:sz w:val="32"/>
          <w:szCs w:val="32"/>
          <w:u w:val="none"/>
          <w:lang w:eastAsia="zh-CN"/>
        </w:rPr>
        <w:t>万元，主要用于在编人员</w:t>
      </w:r>
      <w:r>
        <w:rPr>
          <w:rFonts w:hint="eastAsia" w:ascii="仿宋_GB2312" w:hAnsi="黑体" w:eastAsia="仿宋_GB2312" w:cs="仿宋_GB2312"/>
          <w:sz w:val="32"/>
          <w:szCs w:val="32"/>
          <w:u w:val="none"/>
        </w:rPr>
        <w:t>职业年金</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严格执行相关政策，保障工资及时、足额发放或社保及时、足额缴纳，预算编制科学合理，减少结余资金。</w:t>
      </w:r>
    </w:p>
    <w:p w14:paraId="11D1E2A6">
      <w:pPr>
        <w:keepNext w:val="0"/>
        <w:keepLines w:val="0"/>
        <w:pageBreakBefore w:val="0"/>
        <w:numPr>
          <w:ilvl w:val="0"/>
          <w:numId w:val="4"/>
        </w:numPr>
        <w:kinsoku/>
        <w:wordWrap/>
        <w:overflowPunct/>
        <w:topLinePunct w:val="0"/>
        <w:autoSpaceDE/>
        <w:autoSpaceDN/>
        <w:bidi w:val="0"/>
        <w:adjustRightInd/>
        <w:snapToGrid/>
        <w:spacing w:line="590" w:lineRule="exact"/>
        <w:ind w:left="0" w:leftChars="0"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rPr>
        <w:t>46000021R000000006663-住房公积金</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12.91</w:t>
      </w:r>
      <w:r>
        <w:rPr>
          <w:rFonts w:hint="eastAsia" w:ascii="仿宋_GB2312" w:hAnsi="黑体" w:eastAsia="仿宋_GB2312" w:cs="仿宋_GB2312"/>
          <w:sz w:val="32"/>
          <w:szCs w:val="32"/>
          <w:u w:val="none"/>
          <w:lang w:eastAsia="zh-CN"/>
        </w:rPr>
        <w:t>万元，主要用于在编人员住房公积金，绩效目标是</w:t>
      </w:r>
      <w:r>
        <w:rPr>
          <w:rFonts w:hint="eastAsia" w:ascii="仿宋_GB2312" w:hAnsi="黑体" w:eastAsia="仿宋_GB2312" w:cs="仿宋_GB2312"/>
          <w:sz w:val="32"/>
          <w:szCs w:val="32"/>
          <w:u w:val="none"/>
        </w:rPr>
        <w:t>严格执行相关政策，保障工资及时、足额发放或社保及时、足额缴纳，预算编制科学合理，减少结余资金。</w:t>
      </w:r>
    </w:p>
    <w:p w14:paraId="4B2EE23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5.</w:t>
      </w:r>
      <w:r>
        <w:rPr>
          <w:rFonts w:hint="eastAsia" w:ascii="仿宋_GB2312" w:hAnsi="黑体" w:eastAsia="仿宋_GB2312" w:cs="仿宋_GB2312"/>
          <w:sz w:val="32"/>
          <w:szCs w:val="32"/>
          <w:u w:val="none"/>
        </w:rPr>
        <w:t>46000021R000000006645-公务员医疗补助</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10.5</w:t>
      </w:r>
      <w:r>
        <w:rPr>
          <w:rFonts w:hint="eastAsia" w:ascii="仿宋_GB2312" w:hAnsi="黑体" w:eastAsia="仿宋_GB2312" w:cs="仿宋_GB2312"/>
          <w:sz w:val="32"/>
          <w:szCs w:val="32"/>
          <w:u w:val="none"/>
          <w:lang w:eastAsia="zh-CN"/>
        </w:rPr>
        <w:t>万元，主要用于在编人员</w:t>
      </w:r>
      <w:r>
        <w:rPr>
          <w:rFonts w:hint="eastAsia" w:ascii="仿宋_GB2312" w:hAnsi="黑体" w:eastAsia="仿宋_GB2312" w:cs="仿宋_GB2312"/>
          <w:sz w:val="32"/>
          <w:szCs w:val="32"/>
          <w:u w:val="none"/>
        </w:rPr>
        <w:t>公务员医疗补助</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严格执行相关政策，保障工资及时、足额发放或社保及时、足额缴纳，预算编制科学合理，减少结余资金</w:t>
      </w:r>
      <w:r>
        <w:rPr>
          <w:rFonts w:hint="eastAsia" w:ascii="仿宋_GB2312" w:hAnsi="黑体" w:eastAsia="仿宋_GB2312" w:cs="仿宋_GB2312"/>
          <w:sz w:val="32"/>
          <w:szCs w:val="32"/>
          <w:u w:val="none"/>
          <w:lang w:eastAsia="zh-CN"/>
        </w:rPr>
        <w:t>。</w:t>
      </w:r>
    </w:p>
    <w:p w14:paraId="2B21450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b w:val="0"/>
          <w:bCs/>
          <w:sz w:val="32"/>
          <w:szCs w:val="32"/>
          <w:u w:val="none"/>
          <w:lang w:eastAsia="zh-CN"/>
        </w:rPr>
      </w:pPr>
      <w:r>
        <w:rPr>
          <w:rFonts w:hint="eastAsia" w:ascii="方正仿宋_GBK" w:hAnsi="方正仿宋_GBK" w:eastAsia="方正仿宋_GBK" w:cs="方正仿宋_GBK"/>
          <w:b w:val="0"/>
          <w:bCs/>
          <w:sz w:val="32"/>
          <w:szCs w:val="32"/>
          <w:u w:val="none"/>
          <w:lang w:eastAsia="zh-CN"/>
        </w:rPr>
        <w:t>……</w:t>
      </w:r>
      <w:bookmarkStart w:id="0" w:name="_GoBack"/>
      <w:bookmarkEnd w:id="0"/>
    </w:p>
    <w:p w14:paraId="0D781856">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43F922C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14:paraId="0424642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14:paraId="524ADA8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14:paraId="21884585">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14:paraId="30A9124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14:paraId="4D44D9F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14:paraId="1983581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14:paraId="054E8EE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14:paraId="14961CF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14:paraId="3E3B48F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14:paraId="54D02A7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14:paraId="1A5564C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051F4E7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14:paraId="7568CF0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14:paraId="6DA5BC2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79F21262">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14:paraId="7B13994B"/>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45B3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B7AFB7">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9264;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7M5a7tMAAAAEAQAADwAAAAAAAAABACAAAAAiAAAAZHJzL2Rvd25yZXYueG1s&#10;UEsBAhQAFAAAAAgAh07iQIWn1LU2AgAAYQQAAA4AAAAAAAAAAQAgAAAAIgEAAGRycy9lMm9Eb2Mu&#10;eG1sUEsFBgAAAAAGAAYAWQEAAMoFAAAAAA==&#10;">
              <v:fill on="f" focussize="0,0"/>
              <v:stroke on="f" weight="0.5pt"/>
              <v:imagedata o:title=""/>
              <o:lock v:ext="edit" aspectratio="f"/>
              <v:textbox inset="0mm,0mm,0mm,0mm">
                <w:txbxContent>
                  <w:p w14:paraId="2CB7AFB7">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E75C2FE2"/>
    <w:multiLevelType w:val="singleLevel"/>
    <w:tmpl w:val="E75C2FE2"/>
    <w:lvl w:ilvl="0" w:tentative="0">
      <w:start w:val="2"/>
      <w:numFmt w:val="decimal"/>
      <w:lvlText w:val="%1."/>
      <w:lvlJc w:val="left"/>
      <w:pPr>
        <w:tabs>
          <w:tab w:val="left" w:pos="312"/>
        </w:tabs>
      </w:p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AB45767"/>
    <w:rsid w:val="0D7F66E0"/>
    <w:rsid w:val="306B60E8"/>
    <w:rsid w:val="415D6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 w:type="paragraph" w:customStyle="1" w:styleId="7">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11</Pages>
  <Words>35</Words>
  <Characters>41</Characters>
  <Lines>0</Lines>
  <Paragraphs>0</Paragraphs>
  <TotalTime>4</TotalTime>
  <ScaleCrop>false</ScaleCrop>
  <LinksUpToDate>false</LinksUpToDate>
  <CharactersWithSpaces>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咩啊</cp:lastModifiedBy>
  <dcterms:modified xsi:type="dcterms:W3CDTF">2026-03-10T02:43:57Z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eyJoZGlkIjoiNmRiOGMxNDIxM2RkOGEwYmZlMDU4ZGQ5NDQ1ZTk1ZjEiLCJ1c2VySWQiOiIxMTc0MjM0MTM1In0=</vt:lpwstr>
  </property>
  <property fmtid="{D5CDD505-2E9C-101B-9397-08002B2CF9AE}" pid="4" name="ICV">
    <vt:lpwstr>7A8C681244A44D849CDF1E00CBE05D70_12</vt:lpwstr>
  </property>
</Properties>
</file>